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Правила по боевке и небоевому взаимодействию.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Каждый игрок на начало игры имеет 3 хита, оружие снимает 1 хит. Непоражаемые зоны – голова, шея, область паха, кисти, ступни.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Раненный персонаж нуждается в медицинской помощи, или продолжит терять хиты по одному в 20 минут. Помощь можно получить от других игроков или от бармена.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В состоянии тяжелого ранения (0 хитов и ниже) игрок может перемещаться только с опорой на стену или другого игрока, негромко звать на помощь. Пользоваться магией с большими штрафами.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Магические воздействия индивидуальны в зависимости от игрока и обсуждаются в свободной манере с мастером перед игрой (в рамках возможного) или в ходе их использования на игре. Для определения успеха магического воздействия будет использоваться мастерский произвол и д20. Активные магические воздействия боевого характера отыгрываются мягким (совсем мягким!) метательным снарядом.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Кулуарные убийства отыгрываются достаточно привычно – необходимо подойти к цели сзади и без помех провести клинком на уровне груди. Производиться могут согласованным кулуарным оружием.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Боевые взаимодействия не могут быть засадного характера – вся боевка отыгрывается одинарными и групповыми дуэлями на заднем дворе таверны.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Оглушение отыгрывается двумя темповыми легкими ударами тупой частью оружия по спине цели. Оглушение длится 3 минуты или 200 счетов про себя.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Отравление моделируется чипами бармена, яды не из бара согласовываются с мастером перед игрой (определяется логичность их иметь и кол-во порций) и отыгрываются либо чипами, либо какой-нибудь безопасной дрянью с резким вкусом, вроде перца, мяты, и т.д.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Добивание персонажа проводится по принципу сообщения оглушенному или тяжелораненному противнику в свободной форме о том, что он «убит», «добит», и т.д.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Секс отыгрывается по желанию и обоюдному согласию самыми разными вариантами – можно массировать, можно кормить сгущенкой, можно уединиться.</w:t>
      </w:r>
    </w:p>
    <w:p w:rsidR="00000000" w:rsidDel="00000000" w:rsidP="00000000" w:rsidRDefault="00000000" w:rsidRPr="00000000">
      <w:pPr>
        <w:contextualSpacing w:val="0"/>
      </w:pPr>
      <w:bookmarkStart w:colFirst="0" w:colLast="0" w:name="h.gjdgxs" w:id="0"/>
      <w:bookmarkEnd w:id="0"/>
      <w:r w:rsidDel="00000000" w:rsidR="00000000" w:rsidRPr="00000000">
        <w:rPr>
          <w:rtl w:val="0"/>
        </w:rPr>
        <w:t xml:space="preserve">Игровой зоной является непосредственно сама дача, а также территория дачного участка. Игровые и неигровые участки на месте будут заявлены перед игрой.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Играем на честность, все друг-друга любим, не калечим и на игровые действия по жизни не обижаемся!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rtl w:val="0"/>
        </w:rPr>
        <w:t xml:space="preserve">Экономика (ога, гордо!)</w:t>
      </w:r>
    </w:p>
    <w:p w:rsidR="00000000" w:rsidDel="00000000" w:rsidP="00000000" w:rsidRDefault="00000000" w:rsidRPr="00000000">
      <w:pPr>
        <w:contextualSpacing w:val="0"/>
        <w:jc w:val="left"/>
      </w:pPr>
      <w:r w:rsidDel="00000000" w:rsidR="00000000" w:rsidRPr="00000000">
        <w:rPr>
          <w:rtl w:val="0"/>
        </w:rPr>
        <w:t xml:space="preserve">В качестве валюты на игре будут использоваться «Желания» - то есть, желая оплатить какие-либо услуги, гость обязан будет предложить другому гостю или бармену желание, которым тот может воспользоваться по своему усмотрению в любой момент и загадать все что угодно (в рамках игротехнически разумного). Желание вполне может касаться плотских утех, убийства, отказа от своих знаний и т.д. Желание при этом должно быть высказано достаточно однозначно и касаться одного конкретного действия. Все что может быть истолковано неверно, будет и должно быть истолковано именно так. За исполнением желания следит геомантия таверны, тот, кто откажется исполнять желание будет наказан.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На начало игры каждый гость имеет право предложить одно желание в уплату чего-либо (всего одно, в принципе, один раз). Количество желаний в течение вечера в таверне может быть увеличено, для этого существуют отдельные испытания бармена</w:t>
      </w:r>
    </w:p>
    <w:sectPr>
      <w:pgSz w:h="16838" w:w="11906"/>
      <w:pgMar w:bottom="1134" w:top="1134" w:left="1701" w:right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Times New Roman"/>
  <w:font w:name="Cambria">
    <w:embedRegular r:id="rId1" w:subsetted="0"/>
    <w:embedBold r:id="rId2" w:subsetted="0"/>
    <w:embedItalic r:id="rId3" w:subsetted="0"/>
    <w:embedBoldItalic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vertAlign w:val="baseline"/>
      </w:rPr>
    </w:rPrDefault>
    <w:pPrDefault>
      <w:pPr>
        <w:keepNext w:val="0"/>
        <w:keepLines w:val="0"/>
        <w:widowControl w:val="1"/>
        <w:spacing w:after="200" w:before="0" w:line="276" w:lineRule="auto"/>
        <w:ind w:left="0" w:right="0" w:firstLine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tabs>
        <w:tab w:val="left" w:pos="1"/>
        <w:tab w:val="left" w:pos="284"/>
        <w:tab w:val="left" w:pos="851"/>
        <w:tab w:val="left" w:pos="1418"/>
        <w:tab w:val="left" w:pos="1701"/>
        <w:tab w:val="left" w:pos="1985"/>
      </w:tabs>
      <w:spacing w:after="0" w:before="480" w:line="240" w:lineRule="auto"/>
      <w:jc w:val="center"/>
    </w:pPr>
    <w:rPr>
      <w:rFonts w:ascii="Cambria" w:cs="Cambria" w:eastAsia="Cambria" w:hAnsi="Cambria"/>
      <w:b w:val="0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="276" w:lineRule="auto"/>
      <w:jc w:val="both"/>
    </w:pPr>
    <w:rPr>
      <w:rFonts w:ascii="Cambria" w:cs="Cambria" w:eastAsia="Cambria" w:hAnsi="Cambria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="276" w:lineRule="auto"/>
      <w:jc w:val="both"/>
    </w:pPr>
    <w:rPr>
      <w:rFonts w:ascii="Cambria" w:cs="Cambria" w:eastAsia="Cambria" w:hAnsi="Cambria"/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="276" w:lineRule="auto"/>
      <w:jc w:val="both"/>
    </w:pPr>
    <w:rPr>
      <w:rFonts w:ascii="Cambria" w:cs="Cambria" w:eastAsia="Cambria" w:hAnsi="Cambria"/>
      <w:b w:val="1"/>
      <w:i w:val="1"/>
      <w:color w:val="4f81bd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="276" w:lineRule="auto"/>
      <w:jc w:val="both"/>
    </w:pPr>
    <w:rPr>
      <w:rFonts w:ascii="Cambria" w:cs="Cambria" w:eastAsia="Cambria" w:hAnsi="Cambria"/>
      <w:b w:val="0"/>
      <w:color w:val="243f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="276" w:lineRule="auto"/>
      <w:jc w:val="both"/>
    </w:pPr>
    <w:rPr>
      <w:rFonts w:ascii="Cambria" w:cs="Cambria" w:eastAsia="Cambria" w:hAnsi="Cambria"/>
      <w:b w:val="0"/>
      <w:i w:val="1"/>
      <w:color w:val="243f61"/>
      <w:sz w:val="24"/>
      <w:szCs w:val="24"/>
    </w:rPr>
  </w:style>
  <w:style w:type="paragraph" w:styleId="Title">
    <w:name w:val="Title"/>
    <w:basedOn w:val="Normal"/>
    <w:next w:val="Normal"/>
    <w:pPr>
      <w:keepNext w:val="1"/>
      <w:keepLines w:val="1"/>
      <w:spacing w:after="0" w:before="0" w:line="240" w:lineRule="auto"/>
      <w:jc w:val="center"/>
    </w:pPr>
    <w:rPr>
      <w:rFonts w:ascii="Times New Roman" w:cs="Times New Roman" w:eastAsia="Times New Roman" w:hAnsi="Times New Roman"/>
      <w:b w:val="1"/>
      <w:sz w:val="28"/>
      <w:szCs w:val="28"/>
    </w:rPr>
  </w:style>
  <w:style w:type="paragraph" w:styleId="Subtitle">
    <w:name w:val="Subtitle"/>
    <w:basedOn w:val="Normal"/>
    <w:next w:val="Normal"/>
    <w:pPr>
      <w:keepNext w:val="1"/>
      <w:keepLines w:val="1"/>
      <w:spacing w:after="0" w:before="0" w:line="240" w:lineRule="auto"/>
      <w:jc w:val="both"/>
    </w:pPr>
    <w:rPr>
      <w:rFonts w:ascii="Times New Roman" w:cs="Times New Roman" w:eastAsia="Times New Roman" w:hAnsi="Times New Roman"/>
      <w:b w:val="1"/>
      <w:i w:val="1"/>
      <w:color w:val="666666"/>
      <w:sz w:val="32"/>
      <w:szCs w:val="32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-regular.ttf"/><Relationship Id="rId2" Type="http://schemas.openxmlformats.org/officeDocument/2006/relationships/font" Target="fonts/Cambria-bold.ttf"/><Relationship Id="rId3" Type="http://schemas.openxmlformats.org/officeDocument/2006/relationships/font" Target="fonts/Cambria-italic.ttf"/><Relationship Id="rId4" Type="http://schemas.openxmlformats.org/officeDocument/2006/relationships/font" Target="fonts/Cambria-boldItalic.ttf"/></Relationships>
</file>