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ind w:left="-1131" w:firstLine="0"/>
        <w:contextualSpacing w:val="0"/>
        <w:rPr>
          <w:b w:val="1"/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Игровые флаги и их формы: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Национальный флаг прямоугольной формы. Каждый корабль обязан иметь свой национальный флаг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Белый флаг прямоугольной формы. В случа</w:t>
      </w:r>
      <w:r w:rsidDel="00000000" w:rsidR="00000000" w:rsidRPr="00000000">
        <w:rPr>
          <w:sz w:val="27"/>
          <w:szCs w:val="27"/>
          <w:rtl w:val="0"/>
        </w:rPr>
        <w:t xml:space="preserve">е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 сдачи корабля или во время абордажа, корабль обязан поднять белый прямоугольный флаг.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Белый флаг треугольной формы. В случа</w:t>
      </w:r>
      <w:r w:rsidDel="00000000" w:rsidR="00000000" w:rsidRPr="00000000">
        <w:rPr>
          <w:sz w:val="27"/>
          <w:szCs w:val="27"/>
          <w:rtl w:val="0"/>
        </w:rPr>
        <w:t xml:space="preserve">е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 игрового уничтожения судна, корабль обязан спустить все флаги и поднять белый флаг треугольной формы.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Зеленый флаг прямоугольной формы. Корабль является мистическим, может иметь особенную хитовку или вообще оказаться мираж</w:t>
      </w:r>
      <w:r w:rsidDel="00000000" w:rsidR="00000000" w:rsidRPr="00000000">
        <w:rPr>
          <w:sz w:val="27"/>
          <w:szCs w:val="27"/>
          <w:rtl w:val="0"/>
        </w:rPr>
        <w:t xml:space="preserve">о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м, ходит под прямоугольным зеленым флагом, тем самым оповещая о своем особом состоянии.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16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bookmarkStart w:colFirst="0" w:colLast="0" w:name="_4l1ehdteghso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Зеленый флаг треугольной формы. Поднимается на корабле Дейви Джонса, когда тот уходит на ДНО (корабль невидим и неуязвим).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160" w:before="0" w:line="259" w:lineRule="auto"/>
        <w:ind w:left="-1131" w:right="0" w:firstLine="0"/>
        <w:contextualSpacing w:val="1"/>
        <w:jc w:val="left"/>
        <w:rPr>
          <w:sz w:val="27"/>
          <w:szCs w:val="27"/>
          <w:u w:val="none"/>
        </w:rPr>
      </w:pPr>
      <w:bookmarkStart w:colFirst="0" w:colLast="0" w:name="_tbqangbpawp1" w:id="1"/>
      <w:bookmarkEnd w:id="1"/>
      <w:r w:rsidDel="00000000" w:rsidR="00000000" w:rsidRPr="00000000">
        <w:rPr>
          <w:sz w:val="27"/>
          <w:szCs w:val="27"/>
          <w:rtl w:val="0"/>
        </w:rPr>
        <w:t xml:space="preserve">Корабль не находящийся в игре (забирает/отвозит игроков/ чп и т.д) обязательно ходит под флагом Российской Федерации!</w:t>
      </w:r>
    </w:p>
    <w:p w:rsidR="00000000" w:rsidDel="00000000" w:rsidP="00000000" w:rsidRDefault="00000000" w:rsidRPr="00000000">
      <w:pPr>
        <w:pBdr/>
        <w:ind w:left="-1131" w:firstLine="0"/>
        <w:contextualSpacing w:val="0"/>
        <w:rPr>
          <w:color w:val="000000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-1131" w:firstLine="0"/>
        <w:contextualSpacing w:val="0"/>
        <w:rPr>
          <w:b w:val="1"/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Ранги кораблей: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Фиолетовый треугольный флаг.     S ранг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Красный треугольный флаг.            1-й ранг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Желтый треугольный флаг.              2-й ранг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16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Синий треугольный флаг.                 3-й ранг</w:t>
        <w:br w:type="textWrapping"/>
      </w:r>
    </w:p>
    <w:p w:rsidR="00000000" w:rsidDel="00000000" w:rsidP="00000000" w:rsidRDefault="00000000" w:rsidRPr="00000000">
      <w:pPr>
        <w:pBdr/>
        <w:ind w:left="-1131" w:firstLine="0"/>
        <w:contextualSpacing w:val="0"/>
        <w:rPr>
          <w:b w:val="1"/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Колониальные флаги: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Национальный флаг должен быть обязательно поднят над фортом.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Форт обязан иметь флагшток высотой не менее 2х метров, находящийся не далее 2х метров от штурмовой стены, с возможностью поднятия и опускания национального флага.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Треугольный флаг яркого, контрастного цвета (желтый, красный, оранжевый и пр) обязан быть поднять на флагштоке все время игры кроме моментов «уничтожения береговой артиллерии» и «разрушения форта». Поднятый треугольный флаг является маркером целостности форта для мимо проходящих кораблей.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После съема ВСЕХ хитов с форта необходимо снять национальный и треугольный флаг, заменив их белым. Это обязанность комендант или вышестоящего офицер в случаи его отсутствия.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160" w:before="0" w:line="259" w:lineRule="auto"/>
        <w:ind w:left="-1131" w:right="0" w:firstLine="0"/>
        <w:contextualSpacing w:val="1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vertAlign w:val="baseline"/>
          <w:rtl w:val="0"/>
        </w:rPr>
        <w:t xml:space="preserve">В случаи если форт имеет цитадель, после съема всех хитов с форта, необходимо снять только треугольный флаг, оставив национальный. Национальный флаг заменяется на белый только в момент гибели последних защитников цитадели или в момент капитуляции.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right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b w:val="1"/>
          <w:sz w:val="27"/>
          <w:szCs w:val="27"/>
          <w:u w:val="single"/>
        </w:rPr>
      </w:pPr>
      <w:r w:rsidDel="00000000" w:rsidR="00000000" w:rsidRPr="00000000">
        <w:rPr>
          <w:b w:val="1"/>
          <w:sz w:val="27"/>
          <w:szCs w:val="27"/>
          <w:u w:val="single"/>
          <w:rtl w:val="0"/>
        </w:rPr>
        <w:t xml:space="preserve">Национальные флаги: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b w:val="1"/>
          <w:sz w:val="27"/>
          <w:szCs w:val="27"/>
          <w:rtl w:val="0"/>
        </w:rPr>
        <w:t xml:space="preserve">Франция</w:t>
      </w:r>
      <w:r w:rsidDel="00000000" w:rsidR="00000000" w:rsidRPr="00000000">
        <w:rPr>
          <w:sz w:val="27"/>
          <w:szCs w:val="27"/>
          <w:rtl w:val="0"/>
        </w:rPr>
        <w:t xml:space="preserve"> (и колониальный и Военно-морской):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drawing>
          <wp:inline distB="114300" distT="114300" distL="114300" distR="114300">
            <wp:extent cx="2746458" cy="1827848"/>
            <wp:effectExtent b="0" l="0" r="0" t="0"/>
            <wp:docPr id="4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46458" cy="18278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b w:val="1"/>
          <w:sz w:val="27"/>
          <w:szCs w:val="27"/>
        </w:rPr>
      </w:pPr>
      <w:r w:rsidDel="00000000" w:rsidR="00000000" w:rsidRPr="00000000">
        <w:rPr>
          <w:b w:val="1"/>
          <w:sz w:val="27"/>
          <w:szCs w:val="27"/>
          <w:rtl w:val="0"/>
        </w:rPr>
        <w:t xml:space="preserve">Англия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Колониальный: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drawing>
          <wp:inline distB="114300" distT="114300" distL="114300" distR="114300">
            <wp:extent cx="2725103" cy="1639011"/>
            <wp:effectExtent b="0" l="0" r="0" t="0"/>
            <wp:docPr id="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25103" cy="16390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Военно-Морской: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drawing>
          <wp:inline distB="114300" distT="114300" distL="114300" distR="114300">
            <wp:extent cx="2734628" cy="1367314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34628" cy="13673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b w:val="1"/>
          <w:sz w:val="27"/>
          <w:szCs w:val="27"/>
        </w:rPr>
      </w:pPr>
      <w:r w:rsidDel="00000000" w:rsidR="00000000" w:rsidRPr="00000000">
        <w:rPr>
          <w:b w:val="1"/>
          <w:sz w:val="27"/>
          <w:szCs w:val="27"/>
          <w:rtl w:val="0"/>
        </w:rPr>
        <w:t xml:space="preserve">Голландия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Колониальный и Военно-морской: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drawing>
          <wp:inline distB="114300" distT="114300" distL="114300" distR="114300">
            <wp:extent cx="2807053" cy="1858327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7053" cy="18583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b w:val="1"/>
          <w:sz w:val="27"/>
          <w:szCs w:val="27"/>
        </w:rPr>
      </w:pPr>
      <w:r w:rsidDel="00000000" w:rsidR="00000000" w:rsidRPr="00000000">
        <w:rPr>
          <w:b w:val="1"/>
          <w:sz w:val="27"/>
          <w:szCs w:val="27"/>
          <w:rtl w:val="0"/>
        </w:rPr>
        <w:t xml:space="preserve">Испания: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Колониальный и Военно-морской (флаг Новой Испании):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drawing>
          <wp:inline distB="114300" distT="114300" distL="114300" distR="114300">
            <wp:extent cx="2820353" cy="1880235"/>
            <wp:effectExtent b="0" l="0" r="0" t="0"/>
            <wp:docPr id="5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20353" cy="18802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b w:val="1"/>
          <w:sz w:val="27"/>
          <w:szCs w:val="27"/>
        </w:rPr>
      </w:pPr>
      <w:r w:rsidDel="00000000" w:rsidR="00000000" w:rsidRPr="00000000">
        <w:rPr>
          <w:b w:val="1"/>
          <w:sz w:val="27"/>
          <w:szCs w:val="27"/>
          <w:rtl w:val="0"/>
        </w:rPr>
        <w:t xml:space="preserve">Пираты: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Тут все зависит от фантазии, вот примеры некоторых флагов: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160" w:before="0" w:line="259" w:lineRule="auto"/>
        <w:ind w:left="-1131" w:right="0" w:firstLine="0"/>
        <w:contextualSpacing w:val="0"/>
        <w:rPr>
          <w:sz w:val="27"/>
          <w:szCs w:val="27"/>
        </w:rPr>
      </w:pPr>
      <w:r w:rsidDel="00000000" w:rsidR="00000000" w:rsidRPr="00000000">
        <w:drawing>
          <wp:inline distB="114300" distT="114300" distL="114300" distR="114300">
            <wp:extent cx="5461880" cy="7792403"/>
            <wp:effectExtent b="0" l="0" r="0" t="0"/>
            <wp:docPr id="6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1880" cy="77924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160" w:before="0" w:line="259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10" Type="http://schemas.openxmlformats.org/officeDocument/2006/relationships/image" Target="media/image12.png"/><Relationship Id="rId9" Type="http://schemas.openxmlformats.org/officeDocument/2006/relationships/image" Target="media/image11.png"/><Relationship Id="rId5" Type="http://schemas.openxmlformats.org/officeDocument/2006/relationships/image" Target="media/image10.png"/><Relationship Id="rId6" Type="http://schemas.openxmlformats.org/officeDocument/2006/relationships/image" Target="media/image9.png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