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keepNext w:val="true"/>
        <w:keepLines w:val="true"/>
        <w:numPr>
          <w:ilvl w:val="0"/>
          <w:numId w:val="1"/>
        </w:numPr>
        <w:spacing w:before="240" w:after="240" w:line="240"/>
        <w:ind w:right="0" w:left="708" w:firstLine="0"/>
        <w:jc w:val="center"/>
        <w:rPr>
          <w:rFonts w:ascii="Times New Roman" w:hAnsi="Times New Roman" w:cs="Times New Roman" w:eastAsia="Times New Roman"/>
          <w:b/>
          <w:color w:val="2E74B5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2E74B5"/>
          <w:spacing w:val="0"/>
          <w:position w:val="0"/>
          <w:sz w:val="36"/>
          <w:shd w:fill="auto" w:val="clear"/>
        </w:rPr>
        <w:t xml:space="preserve">Правила по допуску доспехов</w:t>
      </w:r>
    </w:p>
    <w:p>
      <w:pPr>
        <w:keepNext w:val="true"/>
        <w:keepLines w:val="true"/>
        <w:numPr>
          <w:ilvl w:val="0"/>
          <w:numId w:val="1"/>
        </w:numPr>
        <w:spacing w:before="200" w:after="200" w:line="360"/>
        <w:ind w:right="0" w:left="0" w:firstLine="709"/>
        <w:jc w:val="left"/>
        <w:rPr>
          <w:rFonts w:ascii="Times New Roman" w:hAnsi="Times New Roman" w:cs="Times New Roman" w:eastAsia="Times New Roman"/>
          <w:b/>
          <w:color w:val="2E74B5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Общие</w:t>
      </w:r>
      <w:r>
        <w:rPr>
          <w:rFonts w:ascii="Times New Roman" w:hAnsi="Times New Roman" w:cs="Times New Roman" w:eastAsia="Times New Roman"/>
          <w:b/>
          <w:color w:val="2E74B5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положения</w:t>
      </w:r>
    </w:p>
    <w:p>
      <w:pPr>
        <w:spacing w:before="200" w:after="200" w:line="240"/>
        <w:ind w:right="0" w:left="0" w:firstLine="70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Доспехом является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часть антуража игрока, моделирующее защитное облачение и дающее игроку дополнительные хиты.</w:t>
      </w:r>
    </w:p>
    <w:p>
      <w:pPr>
        <w:spacing w:before="200" w:after="200" w:line="240"/>
        <w:ind w:right="0" w:left="0" w:firstLine="70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Доспех могут носить только те игроки, персонажам которых доступна такая возможность.</w:t>
      </w:r>
    </w:p>
    <w:p>
      <w:pPr>
        <w:spacing w:before="200" w:after="200" w:line="240"/>
        <w:ind w:right="0" w:left="0" w:firstLine="70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Внешний вид доспехов должны соответствовать Правилам по антуражу.</w:t>
      </w:r>
    </w:p>
    <w:p>
      <w:pPr>
        <w:keepNext w:val="true"/>
        <w:keepLines w:val="true"/>
        <w:numPr>
          <w:ilvl w:val="0"/>
          <w:numId w:val="4"/>
        </w:numPr>
        <w:spacing w:before="200" w:after="200" w:line="360"/>
        <w:ind w:right="0" w:left="0" w:firstLine="709"/>
        <w:jc w:val="left"/>
        <w:rPr>
          <w:rFonts w:ascii="Times New Roman" w:hAnsi="Times New Roman" w:cs="Times New Roman" w:eastAsia="Times New Roman"/>
          <w:b/>
          <w:color w:val="2E74B5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Материалы изготовления доспехов и шлемов</w:t>
      </w:r>
      <w:r>
        <w:rPr>
          <w:rFonts w:ascii="Times New Roman" w:hAnsi="Times New Roman" w:cs="Times New Roman" w:eastAsia="Times New Roman"/>
          <w:b/>
          <w:color w:val="2E74B5"/>
          <w:spacing w:val="0"/>
          <w:position w:val="0"/>
          <w:sz w:val="32"/>
          <w:shd w:fill="auto" w:val="clear"/>
        </w:rPr>
        <w:t xml:space="preserve">.</w:t>
      </w:r>
    </w:p>
    <w:p>
      <w:pPr>
        <w:spacing w:before="200" w:after="200" w:line="240"/>
        <w:ind w:right="0" w:left="0" w:firstLine="70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Латные элементы могут быть изготовлены из пластика, пенки EVA, в некоторых случаях из кожи, где это соответствует роли игрока. Использование неокрашенных пластиковых элементов брони возможно только в соответствии роли.</w:t>
      </w:r>
    </w:p>
    <w:p>
      <w:pPr>
        <w:spacing w:before="200" w:after="200" w:line="240"/>
        <w:ind w:right="0" w:left="0" w:firstLine="70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изготовления кожаных элементов можно использовать кожу и качественный кожзаменитель. Имитацию деталей из очень толстой кожи можно изготовить путём наклейки слоя тонкой кожи поверх прочной основы.</w:t>
      </w:r>
    </w:p>
    <w:p>
      <w:pPr>
        <w:spacing w:before="200" w:after="200" w:line="240"/>
        <w:ind w:right="0" w:left="0" w:firstLine="70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Кольчужные элементы могу быть выполнены из пластика или металла и скреплены между собой любым способом (сведение, пайка, заклёпки).</w:t>
      </w:r>
    </w:p>
    <w:p>
      <w:pPr>
        <w:spacing w:before="200" w:after="200" w:line="240"/>
        <w:ind w:right="0" w:left="0" w:firstLine="70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Бригантные доспехи обязательно должны иметь в своей основе твёрдые пластины. Рекомендуемый материал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пластик.</w:t>
      </w:r>
    </w:p>
    <w:p>
      <w:pPr>
        <w:spacing w:before="200" w:after="200" w:line="240"/>
        <w:ind w:right="0" w:left="0" w:firstLine="70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изготовления особо массивных доспехов рекомендуется использование пенки EVA, покрытой латексом с красителем.</w:t>
      </w:r>
    </w:p>
    <w:p>
      <w:pPr>
        <w:keepNext w:val="true"/>
        <w:keepLines w:val="true"/>
        <w:numPr>
          <w:ilvl w:val="0"/>
          <w:numId w:val="6"/>
        </w:numPr>
        <w:spacing w:before="200" w:after="200" w:line="360"/>
        <w:ind w:right="0" w:left="0" w:firstLine="709"/>
        <w:jc w:val="left"/>
        <w:rPr>
          <w:rFonts w:ascii="Times New Roman" w:hAnsi="Times New Roman" w:cs="Times New Roman" w:eastAsia="Times New Roman"/>
          <w:b/>
          <w:color w:val="2E74B5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Безопасность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доспеха</w:t>
      </w:r>
      <w:r>
        <w:rPr>
          <w:rFonts w:ascii="Times New Roman" w:hAnsi="Times New Roman" w:cs="Times New Roman" w:eastAsia="Times New Roman"/>
          <w:b/>
          <w:color w:val="2E74B5"/>
          <w:spacing w:val="0"/>
          <w:position w:val="0"/>
          <w:sz w:val="32"/>
          <w:shd w:fill="auto" w:val="clear"/>
        </w:rPr>
        <w:t xml:space="preserve">.</w:t>
      </w:r>
    </w:p>
    <w:p>
      <w:pPr>
        <w:spacing w:before="200" w:after="200" w:line="240"/>
        <w:ind w:right="0" w:left="0" w:firstLine="70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 элементы доспехов и шлемов должны быть изготовлены таким образом, чтобы ими нельзя было нанести травму себе и другим игрокам, а также повредить протектированное оружие.</w:t>
      </w:r>
    </w:p>
    <w:p>
      <w:pPr>
        <w:spacing w:before="200" w:after="200" w:line="240"/>
        <w:ind w:right="0" w:left="0" w:firstLine="70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Недопустимы к использованию латные (твёрдые) элементы доспехов с выступающими более чем на 1 см поверхностями малой (менее 3 мм) толщины.</w:t>
      </w:r>
    </w:p>
    <w:p>
      <w:pPr>
        <w:spacing w:before="200" w:after="200" w:line="240"/>
        <w:ind w:right="0" w:left="0" w:firstLine="70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Кольчужные кольца не должны иметь заусениц.</w:t>
      </w:r>
    </w:p>
    <w:p>
      <w:pPr>
        <w:spacing w:before="200" w:after="200" w:line="240"/>
        <w:ind w:right="0" w:left="0" w:firstLine="70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Шипы, рога, нашлемные фигуры и т.п. элементы доспехов и шлемов должны быть мягкими и безопасными.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num w:numId="1">
    <w:abstractNumId w:val="12"/>
  </w:num>
  <w:num w:numId="4">
    <w:abstractNumId w:val="6"/>
  </w:num>
  <w:num w:numId="6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